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泗洪县双沟功元纸品厂纸制品及包装制品生产项目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竣工环境保护自行验收意见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Cs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泗洪县双沟功元纸品厂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召开了《纸制品及包装制品生产项目》</w:t>
      </w:r>
      <w:r>
        <w:rPr>
          <w:rFonts w:ascii="Times New Roman" w:hAnsi="Times New Roman" w:eastAsia="宋体" w:cs="Times New Roman"/>
          <w:bCs/>
          <w:sz w:val="24"/>
          <w:szCs w:val="24"/>
        </w:rPr>
        <w:t>竣工环境保护验收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评审会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参加</w:t>
      </w:r>
      <w:r>
        <w:rPr>
          <w:rFonts w:ascii="Times New Roman" w:hAnsi="Times New Roman" w:eastAsia="宋体" w:cs="Times New Roman"/>
          <w:bCs/>
          <w:sz w:val="24"/>
          <w:szCs w:val="24"/>
        </w:rPr>
        <w:t>此次验收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会的有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验收监测单位（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南京爱迪信环境技术有限公司</w:t>
      </w:r>
      <w:r>
        <w:rPr>
          <w:rFonts w:ascii="Times New Roman" w:hAnsi="Times New Roman" w:eastAsia="宋体" w:cs="Times New Roman"/>
          <w:bCs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、环评单位（宿迁景美环境技术有限公司）、环保设施设计及施工单位（信阳市环安环保科技有限公司）</w:t>
      </w:r>
      <w:r>
        <w:rPr>
          <w:rFonts w:ascii="Times New Roman" w:hAnsi="Times New Roman" w:eastAsia="宋体" w:cs="Times New Roman"/>
          <w:bCs/>
          <w:sz w:val="24"/>
          <w:szCs w:val="24"/>
        </w:rPr>
        <w:t>及专家组成（名单附后）。验收工作组听取了建设单位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对项目建设内容介绍，并</w:t>
      </w:r>
      <w:r>
        <w:rPr>
          <w:rFonts w:ascii="Times New Roman" w:hAnsi="Times New Roman" w:eastAsia="宋体" w:cs="Times New Roman"/>
          <w:bCs/>
          <w:sz w:val="24"/>
          <w:szCs w:val="24"/>
        </w:rPr>
        <w:t>现场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勘察</w:t>
      </w:r>
      <w:r>
        <w:rPr>
          <w:rFonts w:ascii="Times New Roman" w:hAnsi="Times New Roman" w:eastAsia="宋体" w:cs="Times New Roman"/>
          <w:bCs/>
          <w:sz w:val="24"/>
          <w:szCs w:val="24"/>
        </w:rPr>
        <w:t>该项目环保设施的建设与运行情况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。听取</w:t>
      </w:r>
      <w:r>
        <w:rPr>
          <w:rFonts w:ascii="Times New Roman" w:hAnsi="Times New Roman" w:eastAsia="宋体" w:cs="Times New Roman"/>
          <w:bCs/>
          <w:sz w:val="24"/>
          <w:szCs w:val="24"/>
        </w:rPr>
        <w:t>项目竣工环境保护验收监测报告的汇报，审阅并核实了有关资料，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并对照《建设项目竣工环境保护验收暂行办法》（国环规环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、项目环评报告及环评批复要求。</w:t>
      </w:r>
      <w:r>
        <w:rPr>
          <w:rFonts w:ascii="Times New Roman" w:hAnsi="Times New Roman" w:eastAsia="宋体" w:cs="Times New Roman"/>
          <w:bCs/>
          <w:sz w:val="24"/>
          <w:szCs w:val="24"/>
        </w:rPr>
        <w:t>经认真讨论，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形成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验收意见如下：</w:t>
      </w:r>
    </w:p>
    <w:p>
      <w:pPr>
        <w:spacing w:before="156" w:beforeLines="50"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一、工程建设基本情况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（一）建设地点、规模、主要建设内容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1）建设地点：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江苏省宿迁市泗洪县双沟镇工业园区纬二路 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2）性质：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建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3）产品及规模：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年产纸制品500万个，纸箱300万套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4）工程组成及建设内容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月开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工建设，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2021年6月投入试生产。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项目主体工程、工艺、辅助工程及环保工程见表1，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产品方案见表2，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主要设备清单见表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，主要原辅材料消耗见表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表1  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主体工程及公辅工程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tbl>
      <w:tblPr>
        <w:tblStyle w:val="14"/>
        <w:tblpPr w:leftFromText="180" w:rightFromText="180" w:vertAnchor="text" w:horzAnchor="page" w:tblpXSpec="center" w:tblpY="83"/>
        <w:tblOverlap w:val="never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398"/>
        <w:gridCol w:w="1291"/>
        <w:gridCol w:w="1698"/>
        <w:gridCol w:w="1655"/>
        <w:gridCol w:w="1691"/>
        <w:gridCol w:w="87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建设名称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环评要求建设内容及规模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初步设计建设内容及规模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实际建设情况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主体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工程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印刷车间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表合车间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模切车间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132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132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132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装订车间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瓦楞车间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分切车间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建筑面积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贮运工程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原材料运输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依托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原料区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建筑面积1500m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建筑面积1500m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建筑面积1500m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成品区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建筑面积1500m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建筑面积1500m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</w:rPr>
              <w:t>筑面积1800m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vertAlign w:val="superscript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储存能力扩大20%，根据环办环评函</w:t>
            </w:r>
            <w:r>
              <w:rPr>
                <w:rFonts w:hint="eastAsia" w:ascii="Times New Roman" w:hAnsi="Times New Roman" w:eastAsia="宋体"/>
                <w:bCs/>
                <w:kern w:val="2"/>
                <w:sz w:val="18"/>
                <w:szCs w:val="18"/>
              </w:rPr>
              <w:t>〔2020〕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688号不属于重大变动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辅助</w:t>
            </w:r>
            <w:r>
              <w:rPr>
                <w:rFonts w:ascii="宋体" w:hAnsi="宋体" w:eastAsia="宋体"/>
                <w:sz w:val="18"/>
                <w:szCs w:val="18"/>
              </w:rPr>
              <w:t>工程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办公区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建筑面积28m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建筑面积28m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建筑面积28m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租赁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公用工程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给水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项目厂区内配套生活、生产给水管网，用水量为255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项目厂区内配套生活、生产给水管网，用水量为255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项目厂区内配套生活、生产给水管网，用水量为255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t/a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来自市政给水管网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排水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雨污分流，生活污水进入化粪池，排入市政管网，进入双沟镇污水处理厂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（园区污水处理厂）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处理后达标排放。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雨污分流，生活污水进入化粪池，排入市政管网，进入双沟镇污水处理厂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（园区污水处理厂）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处理后达标排放。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雨污分流，生活污水进入化粪池，排入市政管网，进入双沟镇污水处理厂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（园区污水处理厂）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处理后达标排放。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雨污分流，生活污水进入化粪池，排入市政管网，进入双沟镇污水处理厂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（园区污水处理厂）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处理后达标排放。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供电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pStyle w:val="4"/>
              <w:widowControl w:val="0"/>
              <w:spacing w:after="0"/>
              <w:ind w:left="0" w:leftChars="0"/>
              <w:jc w:val="center"/>
              <w:rPr>
                <w:rFonts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2"/>
                <w:sz w:val="18"/>
                <w:szCs w:val="18"/>
              </w:rPr>
              <w:t>40</w:t>
            </w:r>
            <w:r>
              <w:rPr>
                <w:rFonts w:ascii="Times New Roman" w:hAnsi="Times New Roman" w:eastAsia="宋体"/>
                <w:kern w:val="2"/>
                <w:sz w:val="18"/>
                <w:szCs w:val="18"/>
              </w:rPr>
              <w:t xml:space="preserve">万kWh/a 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pStyle w:val="4"/>
              <w:widowControl w:val="0"/>
              <w:spacing w:after="0"/>
              <w:ind w:left="0" w:leftChars="0"/>
              <w:jc w:val="center"/>
              <w:rPr>
                <w:rFonts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2"/>
                <w:sz w:val="18"/>
                <w:szCs w:val="18"/>
              </w:rPr>
              <w:t>40</w:t>
            </w:r>
            <w:r>
              <w:rPr>
                <w:rFonts w:ascii="Times New Roman" w:hAnsi="Times New Roman" w:eastAsia="宋体"/>
                <w:kern w:val="2"/>
                <w:sz w:val="18"/>
                <w:szCs w:val="18"/>
              </w:rPr>
              <w:t xml:space="preserve">万kWh/a 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pStyle w:val="4"/>
              <w:widowControl w:val="0"/>
              <w:spacing w:after="0"/>
              <w:ind w:left="0" w:leftChars="0"/>
              <w:jc w:val="center"/>
              <w:rPr>
                <w:rFonts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2"/>
                <w:sz w:val="18"/>
                <w:szCs w:val="18"/>
              </w:rPr>
              <w:t>40</w:t>
            </w:r>
            <w:r>
              <w:rPr>
                <w:rFonts w:ascii="Times New Roman" w:hAnsi="Times New Roman" w:eastAsia="宋体"/>
                <w:kern w:val="2"/>
                <w:sz w:val="18"/>
                <w:szCs w:val="18"/>
              </w:rPr>
              <w:t xml:space="preserve">万kWh/a 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来自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市政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电网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废水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化粪池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1座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5m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1座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5m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1座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5m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依托园区，不自建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废气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排气筒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1根15m高排气筒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1根15m高排气筒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1根15m高排气筒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5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废气处理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密闭负压收集+二级活性炭吸附装置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密闭负压收集+二级活性炭吸附装置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密闭收集+二级活性炭吸附装置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噪声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厂区噪声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固废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一般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固废堆场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20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m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vertAlign w:val="superscript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2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0m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  <w:vertAlign w:val="superscript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0m</w:t>
            </w:r>
            <w:r>
              <w:rPr>
                <w:rFonts w:ascii="Times New Roman" w:hAnsi="Times New Roman" w:eastAsia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5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危废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暂存间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建筑面积10m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新建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表2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产品方案表</w:t>
      </w:r>
    </w:p>
    <w:tbl>
      <w:tblPr>
        <w:tblStyle w:val="14"/>
        <w:tblW w:w="499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71"/>
        <w:gridCol w:w="1116"/>
        <w:gridCol w:w="1831"/>
        <w:gridCol w:w="1610"/>
        <w:gridCol w:w="15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50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年产量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highlight w:val="none"/>
              </w:rPr>
              <w:t>实际年产量</w:t>
            </w:r>
          </w:p>
        </w:tc>
        <w:tc>
          <w:tcPr>
            <w:tcW w:w="912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纸制品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万个</w:t>
            </w:r>
          </w:p>
        </w:tc>
        <w:tc>
          <w:tcPr>
            <w:tcW w:w="1050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500</w:t>
            </w:r>
          </w:p>
        </w:tc>
        <w:tc>
          <w:tcPr>
            <w:tcW w:w="1554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912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纸箱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万套</w:t>
            </w:r>
          </w:p>
        </w:tc>
        <w:tc>
          <w:tcPr>
            <w:tcW w:w="1050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300</w:t>
            </w:r>
          </w:p>
        </w:tc>
        <w:tc>
          <w:tcPr>
            <w:tcW w:w="1554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表3 设备清单表</w:t>
      </w:r>
    </w:p>
    <w:tbl>
      <w:tblPr>
        <w:tblStyle w:val="14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97"/>
        <w:gridCol w:w="1941"/>
        <w:gridCol w:w="1433"/>
        <w:gridCol w:w="1412"/>
        <w:gridCol w:w="10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序号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型号 规格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环评时</w:t>
            </w: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数量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实际建成数量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分切机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CHM-1400,35KW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1套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1套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胶印机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罗兰700，40KW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1套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1套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瓦楞机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1500，--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4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复合机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1300，10KW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模切机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1400，5KW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6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钉箱机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马力6HP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3台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7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叉车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0辆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1辆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厂内运输设备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8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抱车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0辆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辆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厂内运输设备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4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主要原辅料消耗表</w:t>
      </w:r>
    </w:p>
    <w:tbl>
      <w:tblPr>
        <w:tblStyle w:val="14"/>
        <w:tblW w:w="0" w:type="auto"/>
        <w:tblInd w:w="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66"/>
        <w:gridCol w:w="870"/>
        <w:gridCol w:w="2115"/>
        <w:gridCol w:w="2070"/>
        <w:gridCol w:w="70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年用量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实际年用量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包装用纸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5000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4500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胶水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淀粉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1.4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水性油墨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</w:tbl>
    <w:p>
      <w:pPr>
        <w:pStyle w:val="2"/>
        <w:widowControl w:val="0"/>
        <w:spacing w:after="0"/>
        <w:jc w:val="center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2</w:t>
      </w:r>
      <w:r>
        <w:rPr>
          <w:rFonts w:ascii="Times New Roman" w:hAnsi="Times New Roman" w:eastAsia="宋体"/>
          <w:b/>
          <w:bCs/>
          <w:sz w:val="21"/>
          <w:szCs w:val="21"/>
        </w:rPr>
        <w:t>-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6</w:t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 主要原辅材料理化特性、毒理毒性一览表</w:t>
      </w:r>
    </w:p>
    <w:tbl>
      <w:tblPr>
        <w:tblStyle w:val="14"/>
        <w:tblW w:w="4998" w:type="pct"/>
        <w:tblInd w:w="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796"/>
        <w:gridCol w:w="2305"/>
        <w:gridCol w:w="13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5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177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理化特性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燃烧爆炸性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毒理毒性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5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水性环保油墨</w:t>
            </w:r>
          </w:p>
        </w:tc>
        <w:tc>
          <w:tcPr>
            <w:tcW w:w="217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每桶20kg，主要成分为醇酸树脂、干性植物油、高沸点矿物油、松香改性酚醛树脂、碳酸钙、颜料及助剂（醇类），溶解载体是水和少量的醇（约3%-5%）。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燃烧可能会产生CO、NO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</w:rPr>
              <w:t>X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等有害气体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无毒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5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淀粉胶</w:t>
            </w:r>
          </w:p>
        </w:tc>
        <w:tc>
          <w:tcPr>
            <w:tcW w:w="2177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以玉米淀粉为主剂，水为溶剂，制成的环境友好型粘结物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燃烧可能会产生CO、NO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</w:rPr>
              <w:t>X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等有害气体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无毒</w:t>
            </w:r>
          </w:p>
        </w:tc>
      </w:tr>
    </w:tbl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）投资情况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企业实际总投资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万元，环保投资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40.5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万元，占总投资比例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spacing w:line="480" w:lineRule="auto"/>
        <w:ind w:left="420" w:left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）本次验收的范围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本次验收的范围为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按照《泗洪县双沟功元纸品厂纸制品及包装制品生产项目环境影响报告表》及其批复所述年产纸制品500万个，纸箱300万套项目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主体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工程内容和环保治理设施。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二、工程变动情况</w:t>
      </w:r>
    </w:p>
    <w:p>
      <w:pPr>
        <w:adjustRightInd w:val="0"/>
        <w:snapToGrid w:val="0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本项目无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重大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变动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，详见附件《一般变动分析》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pStyle w:val="13"/>
      </w:pPr>
    </w:p>
    <w:p/>
    <w:p>
      <w:pPr>
        <w:pStyle w:val="2"/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三、环境保护设施建设情况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（一）废水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项目排水采用雨污分流制，雨水经雨水管网收集后就近排入市政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管网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生活污水经化粪池预处理，处理后排入市政污水管网，由双沟镇污水处理厂处理达标后排放。</w:t>
      </w:r>
    </w:p>
    <w:p>
      <w:pPr>
        <w:spacing w:line="48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二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废气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废气主要为印刷废气。项目印刷采用的油墨为水性油墨，在印刷过程中，水性油墨产生有机废气。本项目车间密闭，在印刷机上设置集气罩，废气经收集后进入废气处理系统（二级活性炭吸附装置），最后经15m高排气筒排放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）噪声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该项目主要高噪声设备为瓦楞机、胶印机、复合机、模切机、分切机等机器，均将组装生产线置于生产车间内，对高噪声设备设置减振基座，经厂房隔声后，降噪量≥15dB（A）。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四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）固废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该项目产生的固体废物主要包括一般工业固废、生活垃圾和危险废物。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生活垃圾、含油抹布由环卫部门清运；一般工业固废边角料和废纸板收集后外售物资公司；危险废物废油墨桶和废活性炭委托淮安华昌固废处置有限公司处理。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四、环境保护设施调试效果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泗洪县双沟功元纸品厂委托南京爱迪信环境技术有限公司于2021年07月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日~2021年07月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日，对“纸制品及包装制品生产项目”实施了建设项目竣工环境保护验收监测。监测期间各项环保治理设施正常运行，满足验收监测要求。监测期间各产线生产负荷大于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75%。依据监测数据分析及相关资料查阅表明：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1、废水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该项目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无生产废水排放，生活废水最大日均浓度均符合双沟镇污水处理厂（园区污水处理厂）接管标准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废气</w:t>
      </w:r>
    </w:p>
    <w:p>
      <w:pPr>
        <w:tabs>
          <w:tab w:val="left" w:pos="318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监</w:t>
      </w:r>
      <w:r>
        <w:rPr>
          <w:rFonts w:hint="eastAsia" w:ascii="Times New Roman" w:hAnsi="Times New Roman" w:eastAsia="宋体" w:cs="Times New Roman"/>
          <w:sz w:val="24"/>
          <w:szCs w:val="24"/>
        </w:rPr>
        <w:t>测数据表明，监测期间该项目的VOCs有组织废气污染物最大排放浓度为VOCs：1.39mg/m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。处理装置对VOCs的处理效率为68.3%（由于该废气产生浓度较低，处理效率相对无法达到正常水平，排放浓度符合排放标准要求）。排放浓度可达天津市《工业企业挥发性有机物排放控制标准》（DB12/524-2020）表1“印刷工业”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非甲烷总烃</w:t>
      </w:r>
      <w:r>
        <w:rPr>
          <w:rFonts w:hint="eastAsia" w:ascii="Times New Roman" w:hAnsi="Times New Roman" w:eastAsia="宋体" w:cs="Times New Roman"/>
          <w:sz w:val="24"/>
          <w:szCs w:val="24"/>
        </w:rPr>
        <w:t>排放限值；无组织废气污染物最大排放浓度为非甲烷总烃：1.96mg/m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，无组织排放限值满足《挥发性有机物无组织排放控制标准》(GB37822-2019)表A.1中限值。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、噪声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厂界的4个噪声监测点昼间及夜间等效声级满足《工业企业厂界环境噪声排放标准》（GB12348-2008）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3类标准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4、固废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各类固体废物暂存及处置去向均符合环保要求。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五、工程建设对环境的影响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验收监测结果表明，该项目废水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、废气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和噪声均能达标排放；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废暂存场所建设规范，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废均得到合规处置；周边环境满足卫生防护距离设置要求，对周边环境影响较小。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六、验收结论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《建设项目竣工环境保护验收暂行办法》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及《建设项目竣工环境保护验收技术指南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污染影响类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》，本项目不存在暂行办法第八条中所列不得通过验收情况，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同意通过竣工环境保护验收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七、建议和要求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规范危废暂存场所及</w:t>
      </w:r>
      <w:r>
        <w:rPr>
          <w:rFonts w:ascii="Times New Roman" w:hAnsi="Times New Roman" w:eastAsia="宋体" w:cs="Times New Roman"/>
          <w:sz w:val="24"/>
          <w:szCs w:val="24"/>
        </w:rPr>
        <w:t>日常环境管理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，建立好相关台账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八、验收人员信息</w:t>
      </w:r>
    </w:p>
    <w:p>
      <w:pPr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建设单位（签章）：</w:t>
      </w: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8"/>
      </w:pPr>
    </w:p>
    <w:p>
      <w:pPr>
        <w:pStyle w:val="18"/>
      </w:pPr>
    </w:p>
    <w:p>
      <w:pPr>
        <w:pStyle w:val="2"/>
        <w:ind w:firstLine="48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验收组长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18"/>
        <w:ind w:left="0" w:leftChars="0" w:firstLine="0" w:firstLineChars="0"/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验收组（签名）：</w:t>
      </w:r>
    </w:p>
    <w:p>
      <w:pPr>
        <w:ind w:firstLine="2240" w:firstLineChars="8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auto"/>
        <w:ind w:firstLine="1120" w:firstLineChars="400"/>
        <w:jc w:val="righ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泗洪县双沟功元纸品厂</w:t>
      </w:r>
    </w:p>
    <w:p>
      <w:pPr>
        <w:wordWrap w:val="0"/>
        <w:jc w:val="right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年     月     日   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CF2"/>
    <w:rsid w:val="0006252E"/>
    <w:rsid w:val="000814D3"/>
    <w:rsid w:val="00090D2B"/>
    <w:rsid w:val="00131B9E"/>
    <w:rsid w:val="001446AB"/>
    <w:rsid w:val="001606A0"/>
    <w:rsid w:val="00160AF5"/>
    <w:rsid w:val="00172A27"/>
    <w:rsid w:val="001B6688"/>
    <w:rsid w:val="001D3B48"/>
    <w:rsid w:val="001F2680"/>
    <w:rsid w:val="00213803"/>
    <w:rsid w:val="00230FAC"/>
    <w:rsid w:val="00237A85"/>
    <w:rsid w:val="002A3C6B"/>
    <w:rsid w:val="002D29D8"/>
    <w:rsid w:val="002E2D01"/>
    <w:rsid w:val="002F2C5D"/>
    <w:rsid w:val="002F6322"/>
    <w:rsid w:val="00307359"/>
    <w:rsid w:val="003159C5"/>
    <w:rsid w:val="00351EC4"/>
    <w:rsid w:val="00382E92"/>
    <w:rsid w:val="003A25EA"/>
    <w:rsid w:val="003C0BF8"/>
    <w:rsid w:val="003C4CF8"/>
    <w:rsid w:val="003E2FEF"/>
    <w:rsid w:val="00402579"/>
    <w:rsid w:val="00423611"/>
    <w:rsid w:val="004545C7"/>
    <w:rsid w:val="00491E19"/>
    <w:rsid w:val="004A6DB0"/>
    <w:rsid w:val="004B0719"/>
    <w:rsid w:val="0052009D"/>
    <w:rsid w:val="00551794"/>
    <w:rsid w:val="00570E0B"/>
    <w:rsid w:val="005847AA"/>
    <w:rsid w:val="005C160E"/>
    <w:rsid w:val="005E4634"/>
    <w:rsid w:val="005F635A"/>
    <w:rsid w:val="0061730F"/>
    <w:rsid w:val="006C666F"/>
    <w:rsid w:val="006F07BC"/>
    <w:rsid w:val="006F53B9"/>
    <w:rsid w:val="006F7A7F"/>
    <w:rsid w:val="00700BBD"/>
    <w:rsid w:val="007053C0"/>
    <w:rsid w:val="007107BB"/>
    <w:rsid w:val="00730383"/>
    <w:rsid w:val="007744ED"/>
    <w:rsid w:val="00774BC5"/>
    <w:rsid w:val="007B6E86"/>
    <w:rsid w:val="007C1CE9"/>
    <w:rsid w:val="007D7E4A"/>
    <w:rsid w:val="007E354B"/>
    <w:rsid w:val="007F3BF6"/>
    <w:rsid w:val="0080456E"/>
    <w:rsid w:val="00806E69"/>
    <w:rsid w:val="00807A46"/>
    <w:rsid w:val="00826CA3"/>
    <w:rsid w:val="008602AE"/>
    <w:rsid w:val="00860AE8"/>
    <w:rsid w:val="0087346E"/>
    <w:rsid w:val="00896720"/>
    <w:rsid w:val="008A47BE"/>
    <w:rsid w:val="008B1DE5"/>
    <w:rsid w:val="008B2DD6"/>
    <w:rsid w:val="008B42CD"/>
    <w:rsid w:val="009047DE"/>
    <w:rsid w:val="00927769"/>
    <w:rsid w:val="00947AA7"/>
    <w:rsid w:val="00974CE0"/>
    <w:rsid w:val="00992716"/>
    <w:rsid w:val="009A1D42"/>
    <w:rsid w:val="009B2632"/>
    <w:rsid w:val="009C58E1"/>
    <w:rsid w:val="009D4908"/>
    <w:rsid w:val="00A26B79"/>
    <w:rsid w:val="00A62A2F"/>
    <w:rsid w:val="00A8750D"/>
    <w:rsid w:val="00AB1C62"/>
    <w:rsid w:val="00AE3650"/>
    <w:rsid w:val="00AE683D"/>
    <w:rsid w:val="00AE73A4"/>
    <w:rsid w:val="00B027AE"/>
    <w:rsid w:val="00B069A4"/>
    <w:rsid w:val="00B12592"/>
    <w:rsid w:val="00B3584C"/>
    <w:rsid w:val="00B37BD6"/>
    <w:rsid w:val="00B911E0"/>
    <w:rsid w:val="00B93A65"/>
    <w:rsid w:val="00BC6A67"/>
    <w:rsid w:val="00C05D7D"/>
    <w:rsid w:val="00C0703C"/>
    <w:rsid w:val="00C11FAF"/>
    <w:rsid w:val="00C12A67"/>
    <w:rsid w:val="00C24281"/>
    <w:rsid w:val="00C336FC"/>
    <w:rsid w:val="00C770D7"/>
    <w:rsid w:val="00C903AC"/>
    <w:rsid w:val="00C9333C"/>
    <w:rsid w:val="00CB4B38"/>
    <w:rsid w:val="00CB7829"/>
    <w:rsid w:val="00CD2225"/>
    <w:rsid w:val="00CD76D9"/>
    <w:rsid w:val="00D50194"/>
    <w:rsid w:val="00D56927"/>
    <w:rsid w:val="00D94092"/>
    <w:rsid w:val="00D9578E"/>
    <w:rsid w:val="00DA7679"/>
    <w:rsid w:val="00DB13BF"/>
    <w:rsid w:val="00DB1E6D"/>
    <w:rsid w:val="00DB6EA0"/>
    <w:rsid w:val="00DE4634"/>
    <w:rsid w:val="00DF32FD"/>
    <w:rsid w:val="00DF3987"/>
    <w:rsid w:val="00DF77C9"/>
    <w:rsid w:val="00E215E0"/>
    <w:rsid w:val="00E24CEB"/>
    <w:rsid w:val="00E46DB3"/>
    <w:rsid w:val="00E60841"/>
    <w:rsid w:val="00E710CE"/>
    <w:rsid w:val="00E762D2"/>
    <w:rsid w:val="00E95F08"/>
    <w:rsid w:val="00EA285D"/>
    <w:rsid w:val="00EB019F"/>
    <w:rsid w:val="00EB2EB9"/>
    <w:rsid w:val="00EB619D"/>
    <w:rsid w:val="00EC7C21"/>
    <w:rsid w:val="00EE3828"/>
    <w:rsid w:val="00EF3964"/>
    <w:rsid w:val="00F26EEE"/>
    <w:rsid w:val="00F32FE8"/>
    <w:rsid w:val="00F460C1"/>
    <w:rsid w:val="00F55A00"/>
    <w:rsid w:val="00FB42CC"/>
    <w:rsid w:val="00FD5D06"/>
    <w:rsid w:val="00FF1BAD"/>
    <w:rsid w:val="01E4575F"/>
    <w:rsid w:val="042F1F33"/>
    <w:rsid w:val="05175BA5"/>
    <w:rsid w:val="0645262D"/>
    <w:rsid w:val="06D00070"/>
    <w:rsid w:val="076228C8"/>
    <w:rsid w:val="077873ED"/>
    <w:rsid w:val="07931ACB"/>
    <w:rsid w:val="07CF74FB"/>
    <w:rsid w:val="08301936"/>
    <w:rsid w:val="0888715E"/>
    <w:rsid w:val="09861E05"/>
    <w:rsid w:val="09AD7A38"/>
    <w:rsid w:val="0A102231"/>
    <w:rsid w:val="0AA658B5"/>
    <w:rsid w:val="0B0F3419"/>
    <w:rsid w:val="0B102F40"/>
    <w:rsid w:val="0BF2709F"/>
    <w:rsid w:val="0C0374A5"/>
    <w:rsid w:val="0D11140B"/>
    <w:rsid w:val="0DCA4F0D"/>
    <w:rsid w:val="0E3E527A"/>
    <w:rsid w:val="0E44789A"/>
    <w:rsid w:val="0EEB45EE"/>
    <w:rsid w:val="0F403AD7"/>
    <w:rsid w:val="0F9C60EB"/>
    <w:rsid w:val="0FCF0048"/>
    <w:rsid w:val="10242298"/>
    <w:rsid w:val="106C03E6"/>
    <w:rsid w:val="1322242B"/>
    <w:rsid w:val="13EE5511"/>
    <w:rsid w:val="159C2950"/>
    <w:rsid w:val="169F7857"/>
    <w:rsid w:val="16B4247B"/>
    <w:rsid w:val="16EB331C"/>
    <w:rsid w:val="177B0091"/>
    <w:rsid w:val="17CC2310"/>
    <w:rsid w:val="183273F7"/>
    <w:rsid w:val="18AB7B57"/>
    <w:rsid w:val="195B6AF0"/>
    <w:rsid w:val="19AA5151"/>
    <w:rsid w:val="1A7E392C"/>
    <w:rsid w:val="1A98072A"/>
    <w:rsid w:val="1B8D6681"/>
    <w:rsid w:val="1C374BD5"/>
    <w:rsid w:val="1CAE6A75"/>
    <w:rsid w:val="1D1D671B"/>
    <w:rsid w:val="1DF31616"/>
    <w:rsid w:val="1F4B4FFF"/>
    <w:rsid w:val="1F7531D8"/>
    <w:rsid w:val="1F951999"/>
    <w:rsid w:val="1FDE08C7"/>
    <w:rsid w:val="201552E9"/>
    <w:rsid w:val="2125707C"/>
    <w:rsid w:val="22393F87"/>
    <w:rsid w:val="22B2698D"/>
    <w:rsid w:val="22D86646"/>
    <w:rsid w:val="256F10D5"/>
    <w:rsid w:val="25D96A45"/>
    <w:rsid w:val="260A6FC7"/>
    <w:rsid w:val="26453749"/>
    <w:rsid w:val="26B60608"/>
    <w:rsid w:val="28B82E19"/>
    <w:rsid w:val="293A741A"/>
    <w:rsid w:val="29A6065E"/>
    <w:rsid w:val="29D00847"/>
    <w:rsid w:val="2A4E75AF"/>
    <w:rsid w:val="2A8A05AC"/>
    <w:rsid w:val="2B410843"/>
    <w:rsid w:val="2BCE1FB0"/>
    <w:rsid w:val="2C21014B"/>
    <w:rsid w:val="2C972907"/>
    <w:rsid w:val="2C976B5E"/>
    <w:rsid w:val="2CBF190D"/>
    <w:rsid w:val="2CF17F58"/>
    <w:rsid w:val="2D5A23A2"/>
    <w:rsid w:val="2E1E4A51"/>
    <w:rsid w:val="2EE53160"/>
    <w:rsid w:val="2F9E3F26"/>
    <w:rsid w:val="30995CAD"/>
    <w:rsid w:val="30F33617"/>
    <w:rsid w:val="3125343B"/>
    <w:rsid w:val="31A579A7"/>
    <w:rsid w:val="32137242"/>
    <w:rsid w:val="324C3B0A"/>
    <w:rsid w:val="326E0BE1"/>
    <w:rsid w:val="327B7280"/>
    <w:rsid w:val="32B86011"/>
    <w:rsid w:val="332800F9"/>
    <w:rsid w:val="337B3C0C"/>
    <w:rsid w:val="33A20866"/>
    <w:rsid w:val="347578FA"/>
    <w:rsid w:val="347A40BC"/>
    <w:rsid w:val="34FB149E"/>
    <w:rsid w:val="34FB462E"/>
    <w:rsid w:val="35401511"/>
    <w:rsid w:val="35B264EE"/>
    <w:rsid w:val="387C3868"/>
    <w:rsid w:val="389C5141"/>
    <w:rsid w:val="3900470E"/>
    <w:rsid w:val="39502F75"/>
    <w:rsid w:val="3A9E0B2C"/>
    <w:rsid w:val="3BAF4BEF"/>
    <w:rsid w:val="3C256B58"/>
    <w:rsid w:val="3C595F1E"/>
    <w:rsid w:val="3CFE69CD"/>
    <w:rsid w:val="3D1A4846"/>
    <w:rsid w:val="3D5E3CE5"/>
    <w:rsid w:val="3DE14DC4"/>
    <w:rsid w:val="3DF94CDA"/>
    <w:rsid w:val="3E2C6E5F"/>
    <w:rsid w:val="3E7642A4"/>
    <w:rsid w:val="3EB56B48"/>
    <w:rsid w:val="3F3A3FB4"/>
    <w:rsid w:val="3F70263D"/>
    <w:rsid w:val="3F983297"/>
    <w:rsid w:val="3FD55F0C"/>
    <w:rsid w:val="405E5D92"/>
    <w:rsid w:val="407A203C"/>
    <w:rsid w:val="41967BA8"/>
    <w:rsid w:val="41E25AB7"/>
    <w:rsid w:val="42804CD6"/>
    <w:rsid w:val="4427380F"/>
    <w:rsid w:val="45C0051F"/>
    <w:rsid w:val="467C35B9"/>
    <w:rsid w:val="477708FF"/>
    <w:rsid w:val="4897479D"/>
    <w:rsid w:val="49404842"/>
    <w:rsid w:val="4A2C0698"/>
    <w:rsid w:val="4B2920BC"/>
    <w:rsid w:val="4B592BFF"/>
    <w:rsid w:val="4B6E385C"/>
    <w:rsid w:val="4BA22276"/>
    <w:rsid w:val="4BD203C4"/>
    <w:rsid w:val="4C772956"/>
    <w:rsid w:val="4DCC3F03"/>
    <w:rsid w:val="4E501866"/>
    <w:rsid w:val="4E932485"/>
    <w:rsid w:val="4ED84CB9"/>
    <w:rsid w:val="4F051B02"/>
    <w:rsid w:val="4F683558"/>
    <w:rsid w:val="5104139E"/>
    <w:rsid w:val="51284435"/>
    <w:rsid w:val="51A5005D"/>
    <w:rsid w:val="5298206F"/>
    <w:rsid w:val="538B094B"/>
    <w:rsid w:val="53B6344C"/>
    <w:rsid w:val="540D7162"/>
    <w:rsid w:val="541B2374"/>
    <w:rsid w:val="54224DB7"/>
    <w:rsid w:val="543D0A19"/>
    <w:rsid w:val="548B4771"/>
    <w:rsid w:val="552A3F86"/>
    <w:rsid w:val="553A7CB3"/>
    <w:rsid w:val="5617721C"/>
    <w:rsid w:val="5799587F"/>
    <w:rsid w:val="57F6625C"/>
    <w:rsid w:val="580C2556"/>
    <w:rsid w:val="5841521F"/>
    <w:rsid w:val="58C649F9"/>
    <w:rsid w:val="58DB27D3"/>
    <w:rsid w:val="594B6641"/>
    <w:rsid w:val="5A64599F"/>
    <w:rsid w:val="5A7151BA"/>
    <w:rsid w:val="5AEC388B"/>
    <w:rsid w:val="5B2C286C"/>
    <w:rsid w:val="5BFB18DF"/>
    <w:rsid w:val="5C4209E7"/>
    <w:rsid w:val="5CCD5732"/>
    <w:rsid w:val="5E732B42"/>
    <w:rsid w:val="5E87676F"/>
    <w:rsid w:val="5F913742"/>
    <w:rsid w:val="60D34E46"/>
    <w:rsid w:val="60EA6FE1"/>
    <w:rsid w:val="60F160BB"/>
    <w:rsid w:val="617306A1"/>
    <w:rsid w:val="620D6A4A"/>
    <w:rsid w:val="624111E8"/>
    <w:rsid w:val="628E4F2C"/>
    <w:rsid w:val="62DB4DCA"/>
    <w:rsid w:val="63EF1108"/>
    <w:rsid w:val="643D21FB"/>
    <w:rsid w:val="645A39F2"/>
    <w:rsid w:val="64760302"/>
    <w:rsid w:val="657B0F69"/>
    <w:rsid w:val="662D6D1A"/>
    <w:rsid w:val="66FC4F58"/>
    <w:rsid w:val="676E610B"/>
    <w:rsid w:val="67D21E17"/>
    <w:rsid w:val="685E36A5"/>
    <w:rsid w:val="6919076B"/>
    <w:rsid w:val="6A7A62A9"/>
    <w:rsid w:val="6AD86E17"/>
    <w:rsid w:val="6C4B1C26"/>
    <w:rsid w:val="6CFB1DE3"/>
    <w:rsid w:val="6D3D3DBE"/>
    <w:rsid w:val="6D7429C2"/>
    <w:rsid w:val="6EDD6A27"/>
    <w:rsid w:val="6F6D0A2A"/>
    <w:rsid w:val="6FA876C5"/>
    <w:rsid w:val="6FF33669"/>
    <w:rsid w:val="706C0249"/>
    <w:rsid w:val="70950B7B"/>
    <w:rsid w:val="71137D4C"/>
    <w:rsid w:val="71314A99"/>
    <w:rsid w:val="714852D8"/>
    <w:rsid w:val="718A22AD"/>
    <w:rsid w:val="71BD2134"/>
    <w:rsid w:val="73032DE9"/>
    <w:rsid w:val="734A792F"/>
    <w:rsid w:val="73553F01"/>
    <w:rsid w:val="743C19CA"/>
    <w:rsid w:val="75852BC8"/>
    <w:rsid w:val="75DD2665"/>
    <w:rsid w:val="7650529F"/>
    <w:rsid w:val="766E5418"/>
    <w:rsid w:val="767C4EB2"/>
    <w:rsid w:val="78F23150"/>
    <w:rsid w:val="7A5B252D"/>
    <w:rsid w:val="7C483E6A"/>
    <w:rsid w:val="7D0C73BD"/>
    <w:rsid w:val="7F114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jc w:val="center"/>
    </w:pPr>
    <w:rPr>
      <w:sz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next w:val="1"/>
    <w:qFormat/>
    <w:uiPriority w:val="0"/>
    <w:pPr>
      <w:widowControl/>
      <w:spacing w:after="120"/>
      <w:ind w:left="1440" w:right="1440"/>
    </w:pPr>
    <w:rPr>
      <w:rFonts w:ascii="宋体" w:eastAsia="宋体"/>
      <w:sz w:val="24"/>
    </w:rPr>
  </w:style>
  <w:style w:type="paragraph" w:styleId="6">
    <w:name w:val="Body Text Indent 2"/>
    <w:basedOn w:val="1"/>
    <w:qFormat/>
    <w:uiPriority w:val="0"/>
    <w:pPr>
      <w:spacing w:line="300" w:lineRule="auto"/>
      <w:ind w:left="481" w:firstLine="720"/>
    </w:pPr>
    <w:rPr>
      <w:sz w:val="24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spacing w:line="400" w:lineRule="atLeast"/>
      <w:jc w:val="center"/>
    </w:pPr>
    <w:rPr>
      <w:rFonts w:ascii="Times New Roman" w:hAnsi="Times New Roman" w:eastAsia="仿宋_GB2312" w:cs="Times New Roman"/>
      <w:sz w:val="24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index 1"/>
    <w:basedOn w:val="1"/>
    <w:next w:val="1"/>
    <w:qFormat/>
    <w:uiPriority w:val="0"/>
    <w:pPr>
      <w:jc w:val="center"/>
    </w:pPr>
    <w:rPr>
      <w:rFonts w:ascii="宋体" w:hAnsi="宋体" w:eastAsia="宋体"/>
      <w:bCs/>
      <w:color w:val="FF0000"/>
      <w:szCs w:val="21"/>
    </w:rPr>
  </w:style>
  <w:style w:type="paragraph" w:styleId="13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8">
    <w:name w:val="Body Text Indent 21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Cs w:val="24"/>
    </w:rPr>
  </w:style>
  <w:style w:type="paragraph" w:customStyle="1" w:styleId="19">
    <w:name w:val="表格文字"/>
    <w:basedOn w:val="1"/>
    <w:link w:val="20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0">
    <w:name w:val="表格文字 Char"/>
    <w:basedOn w:val="16"/>
    <w:link w:val="19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1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6"/>
    <w:qFormat/>
    <w:uiPriority w:val="0"/>
  </w:style>
  <w:style w:type="character" w:styleId="23">
    <w:name w:val="Placeholder Text"/>
    <w:basedOn w:val="16"/>
    <w:semiHidden/>
    <w:qFormat/>
    <w:uiPriority w:val="99"/>
    <w:rPr>
      <w:color w:val="808080"/>
    </w:rPr>
  </w:style>
  <w:style w:type="character" w:customStyle="1" w:styleId="2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26">
    <w:name w:val="表字1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 w:cs="宋体"/>
      <w:kern w:val="0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customStyle="1" w:styleId="29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0">
    <w:name w:val="Table Paragraph"/>
    <w:basedOn w:val="1"/>
    <w:qFormat/>
    <w:uiPriority w:val="1"/>
  </w:style>
  <w:style w:type="paragraph" w:customStyle="1" w:styleId="31">
    <w:name w:val="表格字体"/>
    <w:basedOn w:val="1"/>
    <w:qFormat/>
    <w:uiPriority w:val="0"/>
    <w:pPr>
      <w:adjustRightInd w:val="0"/>
      <w:snapToGrid w:val="0"/>
      <w:spacing w:beforeLines="20" w:afterLines="20"/>
      <w:jc w:val="center"/>
    </w:pPr>
    <w:rPr>
      <w:rFonts w:eastAsia="宋体"/>
      <w:color w:val="000000"/>
      <w:kern w:val="28"/>
      <w:szCs w:val="21"/>
    </w:rPr>
  </w:style>
  <w:style w:type="paragraph" w:customStyle="1" w:styleId="32">
    <w:name w:val="表格多字"/>
    <w:basedOn w:val="31"/>
    <w:qFormat/>
    <w:uiPriority w:val="0"/>
    <w:pPr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5F9DD-3814-45EB-B94D-EAAEBAD17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2733</Words>
  <Characters>2915</Characters>
  <Lines>23</Lines>
  <Paragraphs>6</Paragraphs>
  <TotalTime>0</TotalTime>
  <ScaleCrop>false</ScaleCrop>
  <LinksUpToDate>false</LinksUpToDate>
  <CharactersWithSpaces>2937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2021-05-26T01:42:00Z</dcterms:created>
  <dc:creator>dell</dc:creator>
  <cp:lastModifiedBy>Administrator</cp:lastModifiedBy>
  <cp:lastPrinted>2021-08-28T08:39:00Z</cp:lastPrinted>
  <dcterms:modified xsi:type="dcterms:W3CDTF">2021-10-23T09:54:58Z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7CFBBD89146148039F0020ADA915C0B9</vt:lpwstr>
  </property>
</Properties>
</file>