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江苏宏烨电线有限公司网线生产项目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竣工环境保护自行验收意见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1</w:t>
      </w:r>
      <w:r>
        <w:rPr>
          <w:rFonts w:ascii="Times New Roman" w:hAnsi="Times New Roman" w:eastAsia="宋体" w:cs="Times New Roman"/>
          <w:bCs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宋体" w:cs="Times New Roman"/>
          <w:bCs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bCs/>
          <w:sz w:val="24"/>
          <w:szCs w:val="24"/>
        </w:rPr>
        <w:t>日，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江苏宏烨电线有限公司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召开了《网线生产项目》</w:t>
      </w:r>
      <w:r>
        <w:rPr>
          <w:rFonts w:ascii="Times New Roman" w:hAnsi="Times New Roman" w:eastAsia="宋体" w:cs="Times New Roman"/>
          <w:bCs/>
          <w:sz w:val="24"/>
          <w:szCs w:val="24"/>
        </w:rPr>
        <w:t>竣工环境保护验收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评审会</w:t>
      </w:r>
      <w:r>
        <w:rPr>
          <w:rFonts w:ascii="Times New Roman" w:hAnsi="Times New Roman" w:eastAsia="宋体" w:cs="Times New Roman"/>
          <w:bCs/>
          <w:sz w:val="24"/>
          <w:szCs w:val="24"/>
        </w:rPr>
        <w:t>。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参加</w:t>
      </w:r>
      <w:r>
        <w:rPr>
          <w:rFonts w:ascii="Times New Roman" w:hAnsi="Times New Roman" w:eastAsia="宋体" w:cs="Times New Roman"/>
          <w:bCs/>
          <w:sz w:val="24"/>
          <w:szCs w:val="24"/>
        </w:rPr>
        <w:t>此次验收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会的有</w:t>
      </w:r>
      <w:r>
        <w:rPr>
          <w:rFonts w:ascii="Times New Roman" w:hAnsi="Times New Roman" w:eastAsia="宋体" w:cs="Times New Roman"/>
          <w:bCs/>
          <w:sz w:val="24"/>
          <w:szCs w:val="24"/>
        </w:rPr>
        <w:t>验收监测单位（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南京爱迪信环境技术有限公司</w:t>
      </w:r>
      <w:r>
        <w:rPr>
          <w:rFonts w:ascii="Times New Roman" w:hAnsi="Times New Roman" w:eastAsia="宋体" w:cs="Times New Roman"/>
          <w:bCs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、环评单位（江苏新清源环保有限公司）、环保设施设计单位（江苏新清源环保有限公司）、环保设施施工单位（泗洪天地美评估咨询有限公司）</w:t>
      </w:r>
      <w:r>
        <w:rPr>
          <w:rFonts w:ascii="Times New Roman" w:hAnsi="Times New Roman" w:eastAsia="宋体" w:cs="Times New Roman"/>
          <w:bCs/>
          <w:sz w:val="24"/>
          <w:szCs w:val="24"/>
        </w:rPr>
        <w:t>及专家组成（名单附后）。验收工作组听取了建设单位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对项目建设内容介绍，并</w:t>
      </w:r>
      <w:r>
        <w:rPr>
          <w:rFonts w:ascii="Times New Roman" w:hAnsi="Times New Roman" w:eastAsia="宋体" w:cs="Times New Roman"/>
          <w:bCs/>
          <w:sz w:val="24"/>
          <w:szCs w:val="24"/>
        </w:rPr>
        <w:t>现场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勘察</w:t>
      </w:r>
      <w:r>
        <w:rPr>
          <w:rFonts w:ascii="Times New Roman" w:hAnsi="Times New Roman" w:eastAsia="宋体" w:cs="Times New Roman"/>
          <w:bCs/>
          <w:sz w:val="24"/>
          <w:szCs w:val="24"/>
        </w:rPr>
        <w:t>该项目环保设施的建设与运行情况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。听取</w:t>
      </w:r>
      <w:r>
        <w:rPr>
          <w:rFonts w:ascii="Times New Roman" w:hAnsi="Times New Roman" w:eastAsia="宋体" w:cs="Times New Roman"/>
          <w:bCs/>
          <w:sz w:val="24"/>
          <w:szCs w:val="24"/>
        </w:rPr>
        <w:t>项目竣工环境保护验收监测报告的汇报，审阅并核实了有关资料，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并对照《建设项目竣工环境保护验收暂行办法》（国环规环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评〔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2017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〕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4号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、项目环评报告及环评批复要求。</w:t>
      </w:r>
      <w:r>
        <w:rPr>
          <w:rFonts w:ascii="Times New Roman" w:hAnsi="Times New Roman" w:eastAsia="宋体" w:cs="Times New Roman"/>
          <w:bCs/>
          <w:sz w:val="24"/>
          <w:szCs w:val="24"/>
        </w:rPr>
        <w:t>经认真讨论，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形成</w:t>
      </w:r>
      <w:r>
        <w:rPr>
          <w:rFonts w:ascii="Times New Roman" w:hAnsi="Times New Roman" w:eastAsia="宋体" w:cs="Times New Roman"/>
          <w:bCs/>
          <w:sz w:val="24"/>
          <w:szCs w:val="24"/>
        </w:rPr>
        <w:t>验收意见如下：</w:t>
      </w:r>
    </w:p>
    <w:p>
      <w:pPr>
        <w:spacing w:before="156" w:beforeLines="50"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一、工程建设基本情况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（一）建设地点、规模、主要建设内容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1）建设地点：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泗洪经济开发区电子园人民北路东侧、杭州路南侧</w:t>
      </w:r>
      <w:r>
        <w:rPr>
          <w:rFonts w:ascii="Times New Roman" w:hAnsi="Times New Roman" w:eastAsia="宋体" w:cs="Times New Roman"/>
          <w:bCs/>
          <w:sz w:val="24"/>
          <w:szCs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2）性质：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新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建</w:t>
      </w:r>
      <w:r>
        <w:rPr>
          <w:rFonts w:ascii="Times New Roman" w:hAnsi="Times New Roman" w:eastAsia="宋体" w:cs="Times New Roman"/>
          <w:bCs/>
          <w:sz w:val="24"/>
          <w:szCs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  <w:szCs w:val="24"/>
        </w:rPr>
      </w:pPr>
      <w:r>
        <w:rPr>
          <w:rFonts w:ascii="Times New Roman" w:hAnsi="Times New Roman" w:eastAsia="宋体" w:cs="Times New Roman"/>
          <w:bCs/>
          <w:sz w:val="24"/>
          <w:szCs w:val="24"/>
        </w:rPr>
        <w:t>3）产品及规模：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年生产网线1.8亿米</w:t>
      </w:r>
      <w:r>
        <w:rPr>
          <w:rFonts w:ascii="Times New Roman" w:hAnsi="Times New Roman" w:eastAsia="宋体" w:cs="Times New Roman"/>
          <w:bCs/>
          <w:sz w:val="24"/>
          <w:szCs w:val="24"/>
        </w:rPr>
        <w:t>；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4）工程组成及建设内容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项目于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月开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工建设，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2021年5月投入试生产。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项目主体工程、工艺、辅助工程及环保工程见表1，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产品方案见表2，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主要设备清单见表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，主要原辅材料消耗见表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表1  </w:t>
      </w: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主体工程及公辅工程</w:t>
      </w: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</w:t>
      </w:r>
    </w:p>
    <w:tbl>
      <w:tblPr>
        <w:tblStyle w:val="14"/>
        <w:tblpPr w:leftFromText="180" w:rightFromText="180" w:vertAnchor="text" w:horzAnchor="page" w:tblpXSpec="center" w:tblpY="83"/>
        <w:tblOverlap w:val="never"/>
        <w:tblW w:w="830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650"/>
        <w:gridCol w:w="1658"/>
        <w:gridCol w:w="1617"/>
        <w:gridCol w:w="1652"/>
        <w:gridCol w:w="85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pStyle w:val="2"/>
              <w:widowControl w:val="0"/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widowControl w:val="0"/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建设名称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pStyle w:val="2"/>
              <w:widowControl w:val="0"/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环评要求建设内容及规模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pStyle w:val="2"/>
              <w:widowControl w:val="0"/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初步设计建设内容及规模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pStyle w:val="2"/>
              <w:widowControl w:val="0"/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实际建设情况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pStyle w:val="2"/>
              <w:widowControl w:val="0"/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6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主体</w:t>
            </w:r>
            <w:r>
              <w:rPr>
                <w:rFonts w:hint="eastAsia" w:ascii="Times New Roman" w:hAnsi="Times New Roman" w:eastAsia="宋体"/>
                <w:sz w:val="18"/>
                <w:szCs w:val="18"/>
              </w:rPr>
              <w:t>工程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生产车间1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GB"/>
              </w:rPr>
              <w:t>1层，12000m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GB"/>
              </w:rPr>
              <w:t>1层，12000m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GB"/>
              </w:rPr>
              <w:t>1层，12000m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新建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生产车间2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GB"/>
              </w:rPr>
              <w:t>1层，6000m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GB"/>
              </w:rPr>
              <w:t>1层，6000m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GB"/>
              </w:rPr>
              <w:t>1层，6000m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新建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办公综合楼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GB"/>
              </w:rPr>
              <w:t>3层，5000m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GB"/>
              </w:rPr>
              <w:t>3层，5000m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GB"/>
              </w:rPr>
              <w:t>3层，5000m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vertAlign w:val="superscript"/>
                <w:lang w:val="en-GB"/>
              </w:rPr>
              <w:t>2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新建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6" w:type="dxa"/>
            <w:vMerge w:val="restar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贮运工程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原材料运输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依托社会运输力量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依托社会运输力量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依托社会运输力量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新建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仓库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车间内贮存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车间内贮存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车间内贮存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新建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6" w:type="dxa"/>
            <w:vMerge w:val="restar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公用</w:t>
            </w:r>
            <w:r>
              <w:rPr>
                <w:rFonts w:ascii="宋体" w:hAnsi="宋体" w:eastAsia="宋体"/>
                <w:sz w:val="18"/>
                <w:szCs w:val="18"/>
              </w:rPr>
              <w:t>工程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给水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项目厂区内配套生活、生产给水管网，用水量为1020t/a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项目厂区内配套生活、生产给水管网，用水量为1020t/a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项目厂区内配套生活、生产给水管网，用水量为1020t/a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市政管网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排水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采用雨污分流排水体制，生活废水经化粪池处理后排泗洪县城北污水处理厂集中处理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采用雨污分流排水体制，生活废水经化粪池处理后排泗洪县城北污水处理厂集中处理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采用雨污分流排水体制，生活废水经化粪池处理后排泗洪县城北污水处理厂集中处理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供电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25万kWh/a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25万kWh/a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25万kWh/a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市政电网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6" w:type="dxa"/>
            <w:vMerge w:val="restar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环保工程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废水治理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隔油池、化粪池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隔油池、化粪池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隔油池、化粪池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pStyle w:val="31"/>
              <w:spacing w:before="48" w:after="48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依托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废气治理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UV光氧化+活性炭吸附+15m排气筒（P1）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UV光氧化+活性炭吸附+15m排气筒（P1）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二级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活性炭吸附+15m排气筒（P1）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pStyle w:val="31"/>
              <w:spacing w:before="48" w:after="48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新建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静电式油烟净化设备+高于楼顶排放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静电式油烟净化设备+高于楼顶排放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静电式油烟净化设备+高于楼顶排放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pStyle w:val="31"/>
              <w:spacing w:before="48" w:after="48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新建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噪声治理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设备基础减振、厂房隔声，降噪约15dB（A）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设备基础减振、厂房隔声，降噪约15dB（A）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设备基础减振、厂房隔声，降噪约15dB（A）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pStyle w:val="31"/>
              <w:spacing w:before="48" w:after="48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新建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6" w:type="dxa"/>
            <w:vMerge w:val="continue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固废处理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设置垃圾筒、一般固废暂存场所、危险固废暂存库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设置垃圾筒、一般固废暂存场所、危险固废暂存库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设置垃圾筒、一般固废暂存场所、危险固废暂存库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pStyle w:val="31"/>
              <w:spacing w:before="48" w:after="48"/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-SA"/>
              </w:rPr>
              <w:t>固废分类收集，处置率100%。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表2 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产品方案表</w:t>
      </w:r>
    </w:p>
    <w:tbl>
      <w:tblPr>
        <w:tblStyle w:val="14"/>
        <w:tblW w:w="4996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670"/>
        <w:gridCol w:w="1116"/>
        <w:gridCol w:w="1831"/>
        <w:gridCol w:w="1609"/>
        <w:gridCol w:w="159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050" w:type="pc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环评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年产量</w:t>
            </w:r>
          </w:p>
        </w:tc>
        <w:tc>
          <w:tcPr>
            <w:tcW w:w="923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highlight w:val="none"/>
              </w:rPr>
              <w:t>实际年产量</w:t>
            </w:r>
          </w:p>
        </w:tc>
        <w:tc>
          <w:tcPr>
            <w:tcW w:w="912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1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网线</w:t>
            </w:r>
          </w:p>
        </w:tc>
        <w:tc>
          <w:tcPr>
            <w:tcW w:w="6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米</w:t>
            </w:r>
          </w:p>
        </w:tc>
        <w:tc>
          <w:tcPr>
            <w:tcW w:w="1050" w:type="pct"/>
            <w:tcBorders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宋体"/>
                <w:bCs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  <w:highlight w:val="yellow"/>
                <w:lang w:val="en-US" w:eastAsia="zh-CN"/>
              </w:rPr>
              <w:t>1.8亿米</w:t>
            </w:r>
          </w:p>
        </w:tc>
        <w:tc>
          <w:tcPr>
            <w:tcW w:w="923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0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Times New Roman" w:hAnsi="Times New Roman" w:eastAsia="宋体"/>
                <w:bCs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  <w:highlight w:val="yellow"/>
                <w:lang w:val="en-US" w:eastAsia="zh-CN"/>
              </w:rPr>
              <w:t>1.8亿米</w:t>
            </w:r>
          </w:p>
        </w:tc>
        <w:tc>
          <w:tcPr>
            <w:tcW w:w="912" w:type="pct"/>
            <w:tcBorders>
              <w:left w:val="single" w:color="000000" w:sz="12" w:space="0"/>
            </w:tcBorders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CAT6.7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表3 设备清单表</w:t>
      </w:r>
    </w:p>
    <w:tbl>
      <w:tblPr>
        <w:tblStyle w:val="14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997"/>
        <w:gridCol w:w="1940"/>
        <w:gridCol w:w="1432"/>
        <w:gridCol w:w="1411"/>
        <w:gridCol w:w="107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615"/>
              </w:tabs>
              <w:spacing w:after="0"/>
              <w:jc w:val="center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sz w:val="18"/>
                <w:szCs w:val="18"/>
              </w:rPr>
              <w:t>序号</w:t>
            </w:r>
          </w:p>
        </w:tc>
        <w:tc>
          <w:tcPr>
            <w:tcW w:w="1145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sz w:val="18"/>
                <w:szCs w:val="18"/>
              </w:rPr>
              <w:t>名称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/>
                <w:b/>
                <w:sz w:val="18"/>
                <w:szCs w:val="18"/>
              </w:rPr>
              <w:t>型号</w:t>
            </w:r>
            <w:r>
              <w:rPr>
                <w:rFonts w:hint="eastAsia" w:ascii="Times New Roman" w:hAnsi="Times New Roman" w:eastAsia="宋体"/>
                <w:b/>
                <w:sz w:val="18"/>
                <w:szCs w:val="18"/>
                <w:lang w:eastAsia="zh-CN"/>
              </w:rPr>
              <w:t>、功率</w:t>
            </w:r>
          </w:p>
        </w:tc>
        <w:tc>
          <w:tcPr>
            <w:tcW w:w="821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</w:rPr>
              <w:t>环评时</w:t>
            </w:r>
            <w:r>
              <w:rPr>
                <w:rFonts w:ascii="Times New Roman" w:hAnsi="Times New Roman" w:eastAsia="宋体"/>
                <w:b/>
                <w:sz w:val="18"/>
                <w:szCs w:val="18"/>
              </w:rPr>
              <w:t>数量</w:t>
            </w:r>
          </w:p>
        </w:tc>
        <w:tc>
          <w:tcPr>
            <w:tcW w:w="809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</w:rPr>
              <w:t>实际建成数量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1</w:t>
            </w:r>
          </w:p>
        </w:tc>
        <w:tc>
          <w:tcPr>
            <w:tcW w:w="1145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 xml:space="preserve"> 内押机 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60型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120KW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 xml:space="preserve">6台 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 xml:space="preserve">台 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2</w:t>
            </w:r>
          </w:p>
        </w:tc>
        <w:tc>
          <w:tcPr>
            <w:tcW w:w="1145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 xml:space="preserve"> 对绞机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500型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4KW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 xml:space="preserve">50台 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 xml:space="preserve">50台 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3</w:t>
            </w:r>
          </w:p>
        </w:tc>
        <w:tc>
          <w:tcPr>
            <w:tcW w:w="1145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 xml:space="preserve"> 集绞机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800型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15KW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 xml:space="preserve">11台 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 xml:space="preserve">11台 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4</w:t>
            </w:r>
          </w:p>
        </w:tc>
        <w:tc>
          <w:tcPr>
            <w:tcW w:w="1145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 xml:space="preserve"> 外押机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120型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25KW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 xml:space="preserve">6台 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 xml:space="preserve">台 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97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Cs/>
                <w:sz w:val="18"/>
                <w:szCs w:val="18"/>
              </w:rPr>
              <w:t>5</w:t>
            </w:r>
          </w:p>
        </w:tc>
        <w:tc>
          <w:tcPr>
            <w:tcW w:w="1145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 xml:space="preserve"> 包转机</w:t>
            </w:r>
          </w:p>
        </w:tc>
        <w:tc>
          <w:tcPr>
            <w:tcW w:w="1112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>100型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6KW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 xml:space="preserve">3台 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</w:rPr>
              <w:t xml:space="preserve">3台 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Cs/>
                <w:sz w:val="18"/>
                <w:szCs w:val="18"/>
              </w:rPr>
              <w:t>/</w:t>
            </w:r>
          </w:p>
        </w:tc>
      </w:tr>
    </w:tbl>
    <w:p>
      <w:pPr>
        <w:spacing w:line="360" w:lineRule="auto"/>
        <w:ind w:firstLine="482" w:firstLineChars="200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表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4</w:t>
      </w:r>
      <w:r>
        <w:rPr>
          <w:rFonts w:ascii="Times New Roman" w:hAnsi="Times New Roman" w:eastAsia="宋体" w:cs="Times New Roman"/>
          <w:b/>
          <w:sz w:val="24"/>
          <w:szCs w:val="24"/>
        </w:rPr>
        <w:t xml:space="preserve">  主要原辅料消耗表</w:t>
      </w:r>
    </w:p>
    <w:tbl>
      <w:tblPr>
        <w:tblStyle w:val="14"/>
        <w:tblW w:w="0" w:type="auto"/>
        <w:tblInd w:w="5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449"/>
        <w:gridCol w:w="862"/>
        <w:gridCol w:w="2091"/>
        <w:gridCol w:w="2046"/>
        <w:gridCol w:w="69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77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材料名称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环评</w:t>
            </w:r>
            <w:r>
              <w:rPr>
                <w:rFonts w:ascii="Times New Roman" w:hAnsi="Times New Roman" w:eastAsia="宋体"/>
                <w:b/>
                <w:bCs/>
                <w:sz w:val="18"/>
                <w:szCs w:val="18"/>
              </w:rPr>
              <w:t>年用量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实际年用量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77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铜丝 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吨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3000 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</w:rPr>
              <w:t xml:space="preserve">3000 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77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高密度聚乙烯塑料颗粒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吨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165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177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聚氯乙烯塑料颗粒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吨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720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eastAsia="宋体"/>
                <w:sz w:val="18"/>
                <w:szCs w:val="18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yellow"/>
              </w:rPr>
              <w:t>720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tabs>
                <w:tab w:val="left" w:pos="1080"/>
              </w:tabs>
              <w:spacing w:after="0"/>
              <w:jc w:val="center"/>
              <w:rPr>
                <w:rFonts w:hint="eastAsia" w:ascii="Times New Roman" w:hAnsi="Times New Roman" w:eastAsia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/</w:t>
            </w:r>
          </w:p>
        </w:tc>
      </w:tr>
    </w:tbl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）投资情况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企业实际总投资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2200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万元，环保投资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万元，占总投资比例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0.16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%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auto"/>
        <w:ind w:left="420" w:leftChars="200"/>
        <w:jc w:val="lef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）本次验收的范围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本次验收的范围为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按照《江苏宏烨电线有限公司网线生产项目环境影响报告表》及其批复所述年生产网线1.8亿米项目主体工程内容和环保治理设施。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二、工程变动情况</w:t>
      </w:r>
    </w:p>
    <w:p>
      <w:pPr>
        <w:adjustRightInd w:val="0"/>
        <w:snapToGrid w:val="0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本项目无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重大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变动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，详见附件《一般变动分析》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三、环境保护设施建设情况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sz w:val="24"/>
          <w:szCs w:val="21"/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（一）废水</w:t>
      </w:r>
    </w:p>
    <w:p>
      <w:pPr>
        <w:spacing w:line="48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项目排水采用雨污分流制，雨水经雨水管网收集后就近排入附近水体。</w:t>
      </w:r>
    </w:p>
    <w:p>
      <w:pPr>
        <w:spacing w:line="48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生活污水经化粪池预处理，处理后排入市政污水管网，由城北污水处理厂处理达标后排放。</w:t>
      </w:r>
    </w:p>
    <w:p>
      <w:pPr>
        <w:spacing w:line="48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循环冷却水定期补水，不外排。</w:t>
      </w:r>
    </w:p>
    <w:p>
      <w:pPr>
        <w:spacing w:line="480" w:lineRule="auto"/>
        <w:ind w:firstLine="482" w:firstLineChars="200"/>
        <w:jc w:val="left"/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二</w:t>
      </w: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废气</w:t>
      </w:r>
    </w:p>
    <w:p>
      <w:pPr>
        <w:spacing w:line="480" w:lineRule="auto"/>
        <w:ind w:firstLine="480" w:firstLineChars="200"/>
        <w:jc w:val="both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本项目废气主要为PE有机废气、PVC有机废气和食堂油烟。</w:t>
      </w:r>
    </w:p>
    <w:p>
      <w:pPr>
        <w:spacing w:line="480" w:lineRule="auto"/>
        <w:ind w:firstLine="480" w:firstLineChars="200"/>
        <w:jc w:val="both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PE有机废气和PVC有机废气通过在设备未密闭部位安装高效集气罩收集排放的废气，再通过二级活性炭吸附进行处理，处理后的有机废气通过15米排气筒（P1）排放。</w:t>
      </w:r>
    </w:p>
    <w:p>
      <w:pPr>
        <w:spacing w:line="480" w:lineRule="auto"/>
        <w:ind w:firstLine="480" w:firstLineChars="200"/>
        <w:jc w:val="both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食堂烹饪产生废气，污染因子主要由食用油受热分解产生的油烟。采用清洁能源液化气为燃料，液化气燃烧产物影响可忽略不计。厂内厨房油烟设置静电油烟净化装置，油烟经净化处理后由风机经烟道由高于屋顶1.5米的排气筒排入大气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三</w:t>
      </w: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）噪声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该项目主要高噪声设备为内押机、对绞机、集绞机等机器设备，均将组装生产线置于生产车间内，对高噪声设备设置减振基座，经厂房隔声后，设计降噪量≥15dB（A）。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eastAsia="zh-CN"/>
        </w:rPr>
        <w:t>四</w:t>
      </w: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）固废</w:t>
      </w:r>
    </w:p>
    <w:p>
      <w:pPr>
        <w:spacing w:line="48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 该项目产生的固体废物主要包括一般工业固废、生活垃圾和危险废物。</w:t>
      </w:r>
    </w:p>
    <w:p>
      <w:pPr>
        <w:spacing w:line="480" w:lineRule="auto"/>
        <w:ind w:firstLine="480" w:firstLineChars="200"/>
        <w:jc w:val="left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生活垃圾由环卫部门清运；一般工业固废边角料和废包装物收集后外售物资公司；危险废物废活性炭委托常州大维环境科技有限公司处理。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00"/>
          <w:sz w:val="24"/>
          <w:szCs w:val="24"/>
        </w:rPr>
        <w:t>四、环境保护设施调试效果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江苏宏烨电线有限公司委托南京爱迪信环境技术有限公司于2021年0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月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03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日~2021年0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月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04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日，对“网线生产项目”实施了建设项目竣工环境保护验收监测。监测期间各项环保治理设施正常运行，满足验收监测要求。监测期间各产线生产负荷大于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>75%。依据监测数据分析及相关资料查阅表明：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1、废水</w:t>
      </w: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该项目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无生产废水排放，生活废水最大日均浓度均符合城北污水处理厂接管标准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left="420" w:leftChars="200"/>
        <w:jc w:val="left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废气</w:t>
      </w:r>
    </w:p>
    <w:p>
      <w:pPr>
        <w:tabs>
          <w:tab w:val="left" w:pos="318"/>
        </w:tabs>
        <w:spacing w:line="360" w:lineRule="auto"/>
        <w:ind w:firstLine="480" w:firstLineChars="20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监测数据表明，监测期间该项目的VOCs有组织废气污染物最大排放浓度为0.064mg/m</w:t>
      </w:r>
      <w:r>
        <w:rPr>
          <w:rFonts w:hint="eastAsia" w:ascii="Times New Roman" w:hAnsi="Times New Roman" w:eastAsia="宋体" w:cs="Times New Roman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。处理装置对VOCs的处理效率为81.3%（由于该废气产生浓度较低，处理效率相对无法达到正常水平，排放浓度符合排放标准要求）。排放浓度可达天津市《工业企业挥发性有机物排放控制标准》（DB12/524-2020）表1“塑料制品制造”中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非甲烷总烃</w:t>
      </w:r>
      <w:r>
        <w:rPr>
          <w:rFonts w:hint="eastAsia" w:ascii="Times New Roman" w:hAnsi="Times New Roman" w:eastAsia="宋体" w:cs="Times New Roman"/>
          <w:sz w:val="24"/>
          <w:szCs w:val="24"/>
        </w:rPr>
        <w:t>排放限值；HCl有组织废气污染物最大排放浓度为10.4mg/m</w:t>
      </w:r>
      <w:r>
        <w:rPr>
          <w:rFonts w:hint="eastAsia" w:ascii="Times New Roman" w:hAnsi="Times New Roman" w:eastAsia="宋体" w:cs="Times New Roman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。处理装置对HCl的处理效率为62.5%（由于该废气产生浓度较低，处理效率相对无法达到正常水平，排放浓度符合排放标准要求）。排放浓度可达《大气污染物综合排放标准》（GB16297-1996）表2中二级标准；无组织废气污染物最大排放浓度为非甲烷总烃：2.40mg/m</w:t>
      </w:r>
      <w:r>
        <w:rPr>
          <w:rFonts w:hint="eastAsia" w:ascii="Times New Roman" w:hAnsi="Times New Roman" w:eastAsia="宋体" w:cs="Times New Roman"/>
          <w:sz w:val="24"/>
          <w:szCs w:val="24"/>
          <w:vertAlign w:val="superscript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</w:rPr>
        <w:t>，无组织排放限值满足《挥发性有机物无组织排放控制标准》(GB37822-2019)表A.1中限值；HCl：ND，无组织排放限值满足《大气污染物综合排放标准》（GB16297-1996）表2中二级标准。</w:t>
      </w:r>
    </w:p>
    <w:p>
      <w:pPr>
        <w:spacing w:line="360" w:lineRule="auto"/>
        <w:ind w:left="420" w:left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、噪声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监测数据表明，监测期间该项目东、南侧厂界昼间最大噪声值为58.2dB（A），夜间最大噪声值为48.4dB（A）。能够满足《工业企业厂界环境噪声排放标准》（GB12348-2008）3类标准；西、北侧厂界昼间最大噪声值为56.7dB（A），夜间最大噪声值为46.4dB（A）。能够满足《工业企业厂界环境噪声排放标准》（GB12348-2008）4a类标准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left="420" w:leftChars="200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4、固废</w:t>
      </w:r>
    </w:p>
    <w:p>
      <w:pPr>
        <w:spacing w:line="360" w:lineRule="auto"/>
        <w:ind w:left="420" w:leftChars="200"/>
        <w:jc w:val="lef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各类固体废物暂存及处置去向均符合环保要求。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五、工程建设对环境的影响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pacing w:val="-6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验收监测结果表明，该项目废水和噪声均能达标排放；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废暂存场所建设规范，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废均得到合规处置；周边环境满足卫生防护距离设置要求，对周边环境影响较小。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六、验收结论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对照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《建设项目竣工环境保护验收暂行办法》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（国环规环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评〔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2017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〕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val="en-US" w:eastAsia="zh-CN"/>
        </w:rPr>
        <w:t>4号</w:t>
      </w:r>
      <w:r>
        <w:rPr>
          <w:rFonts w:hint="default" w:ascii="Times New Roman" w:hAnsi="Times New Roman" w:eastAsia="宋体" w:cs="Times New Roman"/>
          <w:bCs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及《建设项目竣工环境保护验收技术指南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 xml:space="preserve">  污染影响类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》，本项目不存在暂行办法第八条中所列不得通过验收情况，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同意通过竣工环境保护验收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spacing w:line="480" w:lineRule="auto"/>
        <w:ind w:firstLine="482" w:firstLineChars="200"/>
        <w:jc w:val="left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七、建议和要求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规范危废暂存场所及</w:t>
      </w:r>
      <w:r>
        <w:rPr>
          <w:rFonts w:ascii="Times New Roman" w:hAnsi="Times New Roman" w:eastAsia="宋体" w:cs="Times New Roman"/>
          <w:sz w:val="24"/>
          <w:szCs w:val="24"/>
        </w:rPr>
        <w:t>日常环境管理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，建立好相关台账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firstLine="482" w:firstLineChars="200"/>
        <w:jc w:val="left"/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八、验收人员信息</w:t>
      </w:r>
      <w:bookmarkStart w:id="0" w:name="_GoBack"/>
      <w:bookmarkEnd w:id="0"/>
    </w:p>
    <w:p>
      <w:pPr>
        <w:ind w:firstLine="560" w:firstLineChars="200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建设单位（签章）：</w:t>
      </w:r>
    </w:p>
    <w:p>
      <w:pPr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8"/>
      </w:pPr>
    </w:p>
    <w:p>
      <w:pPr>
        <w:pStyle w:val="18"/>
      </w:pPr>
    </w:p>
    <w:p>
      <w:pPr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验收组（签名）：</w:t>
      </w:r>
    </w:p>
    <w:p>
      <w:pPr>
        <w:ind w:firstLine="2240" w:firstLineChars="800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480" w:lineRule="auto"/>
        <w:ind w:firstLine="1120" w:firstLineChars="400"/>
        <w:jc w:val="righ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江苏宏烨电线有限公司</w:t>
      </w:r>
    </w:p>
    <w:p>
      <w:pPr>
        <w:wordWrap w:val="0"/>
        <w:jc w:val="right"/>
        <w:rPr>
          <w:rFonts w:ascii="Times New Roman" w:hAnsi="Times New Roman" w:eastAsia="宋体" w:cs="Times New Roman"/>
          <w:color w:val="FF0000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年     月     日   </w:t>
      </w:r>
    </w:p>
    <w:sectPr>
      <w:pgSz w:w="11906" w:h="16838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CF2"/>
    <w:rsid w:val="0006252E"/>
    <w:rsid w:val="000814D3"/>
    <w:rsid w:val="00090D2B"/>
    <w:rsid w:val="00131B9E"/>
    <w:rsid w:val="001446AB"/>
    <w:rsid w:val="001606A0"/>
    <w:rsid w:val="00160AF5"/>
    <w:rsid w:val="00172A27"/>
    <w:rsid w:val="001B6688"/>
    <w:rsid w:val="001D3B48"/>
    <w:rsid w:val="001F2680"/>
    <w:rsid w:val="00213803"/>
    <w:rsid w:val="00230FAC"/>
    <w:rsid w:val="00237A85"/>
    <w:rsid w:val="002A3C6B"/>
    <w:rsid w:val="002D29D8"/>
    <w:rsid w:val="002E2D01"/>
    <w:rsid w:val="002F2C5D"/>
    <w:rsid w:val="002F6322"/>
    <w:rsid w:val="00307359"/>
    <w:rsid w:val="003159C5"/>
    <w:rsid w:val="00351EC4"/>
    <w:rsid w:val="00382E92"/>
    <w:rsid w:val="003A25EA"/>
    <w:rsid w:val="003C0BF8"/>
    <w:rsid w:val="003C4CF8"/>
    <w:rsid w:val="003E2FEF"/>
    <w:rsid w:val="00402579"/>
    <w:rsid w:val="00423611"/>
    <w:rsid w:val="004545C7"/>
    <w:rsid w:val="00491E19"/>
    <w:rsid w:val="004A6DB0"/>
    <w:rsid w:val="004B0719"/>
    <w:rsid w:val="0052009D"/>
    <w:rsid w:val="00551794"/>
    <w:rsid w:val="00570E0B"/>
    <w:rsid w:val="005847AA"/>
    <w:rsid w:val="005C160E"/>
    <w:rsid w:val="005E4634"/>
    <w:rsid w:val="005F635A"/>
    <w:rsid w:val="0061730F"/>
    <w:rsid w:val="006C666F"/>
    <w:rsid w:val="006F07BC"/>
    <w:rsid w:val="006F53B9"/>
    <w:rsid w:val="006F7A7F"/>
    <w:rsid w:val="00700BBD"/>
    <w:rsid w:val="007053C0"/>
    <w:rsid w:val="007107BB"/>
    <w:rsid w:val="00730383"/>
    <w:rsid w:val="007744ED"/>
    <w:rsid w:val="00774BC5"/>
    <w:rsid w:val="007B6E86"/>
    <w:rsid w:val="007C1CE9"/>
    <w:rsid w:val="007D7E4A"/>
    <w:rsid w:val="007E354B"/>
    <w:rsid w:val="007F3BF6"/>
    <w:rsid w:val="0080456E"/>
    <w:rsid w:val="00806E69"/>
    <w:rsid w:val="00807A46"/>
    <w:rsid w:val="00826CA3"/>
    <w:rsid w:val="008602AE"/>
    <w:rsid w:val="00860AE8"/>
    <w:rsid w:val="0087346E"/>
    <w:rsid w:val="00896720"/>
    <w:rsid w:val="008A47BE"/>
    <w:rsid w:val="008B1DE5"/>
    <w:rsid w:val="008B2DD6"/>
    <w:rsid w:val="008B42CD"/>
    <w:rsid w:val="009047DE"/>
    <w:rsid w:val="00927769"/>
    <w:rsid w:val="00947AA7"/>
    <w:rsid w:val="00974CE0"/>
    <w:rsid w:val="00992716"/>
    <w:rsid w:val="009A1D42"/>
    <w:rsid w:val="009B2632"/>
    <w:rsid w:val="009C58E1"/>
    <w:rsid w:val="009D4908"/>
    <w:rsid w:val="00A26B79"/>
    <w:rsid w:val="00A62A2F"/>
    <w:rsid w:val="00A8750D"/>
    <w:rsid w:val="00AB1C62"/>
    <w:rsid w:val="00AE3650"/>
    <w:rsid w:val="00AE683D"/>
    <w:rsid w:val="00AE73A4"/>
    <w:rsid w:val="00B027AE"/>
    <w:rsid w:val="00B069A4"/>
    <w:rsid w:val="00B12592"/>
    <w:rsid w:val="00B3584C"/>
    <w:rsid w:val="00B37BD6"/>
    <w:rsid w:val="00B911E0"/>
    <w:rsid w:val="00B93A65"/>
    <w:rsid w:val="00BC6A67"/>
    <w:rsid w:val="00C05D7D"/>
    <w:rsid w:val="00C0703C"/>
    <w:rsid w:val="00C11FAF"/>
    <w:rsid w:val="00C12A67"/>
    <w:rsid w:val="00C24281"/>
    <w:rsid w:val="00C336FC"/>
    <w:rsid w:val="00C770D7"/>
    <w:rsid w:val="00C903AC"/>
    <w:rsid w:val="00C9333C"/>
    <w:rsid w:val="00CB4B38"/>
    <w:rsid w:val="00CB7829"/>
    <w:rsid w:val="00CD2225"/>
    <w:rsid w:val="00CD76D9"/>
    <w:rsid w:val="00D50194"/>
    <w:rsid w:val="00D56927"/>
    <w:rsid w:val="00D94092"/>
    <w:rsid w:val="00D9578E"/>
    <w:rsid w:val="00DA7679"/>
    <w:rsid w:val="00DB13BF"/>
    <w:rsid w:val="00DB1E6D"/>
    <w:rsid w:val="00DB6EA0"/>
    <w:rsid w:val="00DE4634"/>
    <w:rsid w:val="00DF32FD"/>
    <w:rsid w:val="00DF3987"/>
    <w:rsid w:val="00DF77C9"/>
    <w:rsid w:val="00E215E0"/>
    <w:rsid w:val="00E24CEB"/>
    <w:rsid w:val="00E46DB3"/>
    <w:rsid w:val="00E60841"/>
    <w:rsid w:val="00E710CE"/>
    <w:rsid w:val="00E762D2"/>
    <w:rsid w:val="00E95F08"/>
    <w:rsid w:val="00EA285D"/>
    <w:rsid w:val="00EB019F"/>
    <w:rsid w:val="00EB2EB9"/>
    <w:rsid w:val="00EB619D"/>
    <w:rsid w:val="00EC7C21"/>
    <w:rsid w:val="00EE3828"/>
    <w:rsid w:val="00EF3964"/>
    <w:rsid w:val="00F26EEE"/>
    <w:rsid w:val="00F32FE8"/>
    <w:rsid w:val="00F460C1"/>
    <w:rsid w:val="00F55A00"/>
    <w:rsid w:val="00FB42CC"/>
    <w:rsid w:val="00FD5D06"/>
    <w:rsid w:val="00FF1BAD"/>
    <w:rsid w:val="01E4575F"/>
    <w:rsid w:val="042F1F33"/>
    <w:rsid w:val="05175BA5"/>
    <w:rsid w:val="0645262D"/>
    <w:rsid w:val="06D00070"/>
    <w:rsid w:val="076228C8"/>
    <w:rsid w:val="077873ED"/>
    <w:rsid w:val="07931ACB"/>
    <w:rsid w:val="07CF74FB"/>
    <w:rsid w:val="08301936"/>
    <w:rsid w:val="0888715E"/>
    <w:rsid w:val="09861E05"/>
    <w:rsid w:val="09AD7A38"/>
    <w:rsid w:val="0A102231"/>
    <w:rsid w:val="0AA658B5"/>
    <w:rsid w:val="0B0F3419"/>
    <w:rsid w:val="0B102F40"/>
    <w:rsid w:val="0BF2709F"/>
    <w:rsid w:val="0C0374A5"/>
    <w:rsid w:val="0D11140B"/>
    <w:rsid w:val="0DCA4F0D"/>
    <w:rsid w:val="0E3E527A"/>
    <w:rsid w:val="0E44789A"/>
    <w:rsid w:val="0EEB45EE"/>
    <w:rsid w:val="0F403AD7"/>
    <w:rsid w:val="0F9C60EB"/>
    <w:rsid w:val="0FCF0048"/>
    <w:rsid w:val="10242298"/>
    <w:rsid w:val="106C03E6"/>
    <w:rsid w:val="1322242B"/>
    <w:rsid w:val="13EE5511"/>
    <w:rsid w:val="159C2950"/>
    <w:rsid w:val="169F7857"/>
    <w:rsid w:val="16B4247B"/>
    <w:rsid w:val="16EB331C"/>
    <w:rsid w:val="177B0091"/>
    <w:rsid w:val="17CC2310"/>
    <w:rsid w:val="183273F7"/>
    <w:rsid w:val="18AB7B57"/>
    <w:rsid w:val="195B6AF0"/>
    <w:rsid w:val="19AA5151"/>
    <w:rsid w:val="1A7E392C"/>
    <w:rsid w:val="1A98072A"/>
    <w:rsid w:val="1B8D6681"/>
    <w:rsid w:val="1C374BD5"/>
    <w:rsid w:val="1CAE6A75"/>
    <w:rsid w:val="1D1D671B"/>
    <w:rsid w:val="1DF31616"/>
    <w:rsid w:val="1F4B4FFF"/>
    <w:rsid w:val="1F7531D8"/>
    <w:rsid w:val="1F951999"/>
    <w:rsid w:val="1FDE08C7"/>
    <w:rsid w:val="201552E9"/>
    <w:rsid w:val="2125707C"/>
    <w:rsid w:val="22393F87"/>
    <w:rsid w:val="22B2698D"/>
    <w:rsid w:val="22D86646"/>
    <w:rsid w:val="256F10D5"/>
    <w:rsid w:val="25D96A45"/>
    <w:rsid w:val="260A6FC7"/>
    <w:rsid w:val="26453749"/>
    <w:rsid w:val="26B60608"/>
    <w:rsid w:val="28B82E19"/>
    <w:rsid w:val="293A741A"/>
    <w:rsid w:val="29A6065E"/>
    <w:rsid w:val="29A91101"/>
    <w:rsid w:val="29D00847"/>
    <w:rsid w:val="2A4E75AF"/>
    <w:rsid w:val="2A8A05AC"/>
    <w:rsid w:val="2B410843"/>
    <w:rsid w:val="2BCE1FB0"/>
    <w:rsid w:val="2C21014B"/>
    <w:rsid w:val="2C972907"/>
    <w:rsid w:val="2C976B5E"/>
    <w:rsid w:val="2CBF190D"/>
    <w:rsid w:val="2CF17F58"/>
    <w:rsid w:val="2D5A23A2"/>
    <w:rsid w:val="2DE0211B"/>
    <w:rsid w:val="2E1E4A51"/>
    <w:rsid w:val="2EE53160"/>
    <w:rsid w:val="2F9E3F26"/>
    <w:rsid w:val="30995CAD"/>
    <w:rsid w:val="30CA71F5"/>
    <w:rsid w:val="30F33617"/>
    <w:rsid w:val="3125343B"/>
    <w:rsid w:val="31A579A7"/>
    <w:rsid w:val="32137242"/>
    <w:rsid w:val="324C3B0A"/>
    <w:rsid w:val="327B7280"/>
    <w:rsid w:val="32B86011"/>
    <w:rsid w:val="332800F9"/>
    <w:rsid w:val="337B3C0C"/>
    <w:rsid w:val="33A20866"/>
    <w:rsid w:val="347578FA"/>
    <w:rsid w:val="347A40BC"/>
    <w:rsid w:val="34FB149E"/>
    <w:rsid w:val="34FB462E"/>
    <w:rsid w:val="35401511"/>
    <w:rsid w:val="35B264EE"/>
    <w:rsid w:val="387C3868"/>
    <w:rsid w:val="389C5141"/>
    <w:rsid w:val="3900470E"/>
    <w:rsid w:val="39502F75"/>
    <w:rsid w:val="3A9E0B2C"/>
    <w:rsid w:val="3BAF4BEF"/>
    <w:rsid w:val="3C256B58"/>
    <w:rsid w:val="3C595F1E"/>
    <w:rsid w:val="3CFE69CD"/>
    <w:rsid w:val="3D1A4846"/>
    <w:rsid w:val="3D5E3CE5"/>
    <w:rsid w:val="3DE14DC4"/>
    <w:rsid w:val="3DF94CDA"/>
    <w:rsid w:val="3E2C6E5F"/>
    <w:rsid w:val="3E7642A4"/>
    <w:rsid w:val="3EB56B48"/>
    <w:rsid w:val="3F3A3FB4"/>
    <w:rsid w:val="3F70263D"/>
    <w:rsid w:val="3F983297"/>
    <w:rsid w:val="3FD55F0C"/>
    <w:rsid w:val="405E5D92"/>
    <w:rsid w:val="407A203C"/>
    <w:rsid w:val="41967BA8"/>
    <w:rsid w:val="41E25AB7"/>
    <w:rsid w:val="42804CD6"/>
    <w:rsid w:val="4427380F"/>
    <w:rsid w:val="45C0051F"/>
    <w:rsid w:val="467C35B9"/>
    <w:rsid w:val="477708FF"/>
    <w:rsid w:val="4897479D"/>
    <w:rsid w:val="49404842"/>
    <w:rsid w:val="4A2C0698"/>
    <w:rsid w:val="4B2920BC"/>
    <w:rsid w:val="4B592BFF"/>
    <w:rsid w:val="4B6E385C"/>
    <w:rsid w:val="4BA22276"/>
    <w:rsid w:val="4BD203C4"/>
    <w:rsid w:val="4C772956"/>
    <w:rsid w:val="4DCC3F03"/>
    <w:rsid w:val="4E501866"/>
    <w:rsid w:val="4E932485"/>
    <w:rsid w:val="4ED84CB9"/>
    <w:rsid w:val="4F051B02"/>
    <w:rsid w:val="4F683558"/>
    <w:rsid w:val="5104139E"/>
    <w:rsid w:val="51284435"/>
    <w:rsid w:val="51A5005D"/>
    <w:rsid w:val="5298206F"/>
    <w:rsid w:val="538B094B"/>
    <w:rsid w:val="53B6344C"/>
    <w:rsid w:val="540D7162"/>
    <w:rsid w:val="541B2374"/>
    <w:rsid w:val="54224DB7"/>
    <w:rsid w:val="543D0A19"/>
    <w:rsid w:val="548B4771"/>
    <w:rsid w:val="552A3F86"/>
    <w:rsid w:val="553A7CB3"/>
    <w:rsid w:val="5617721C"/>
    <w:rsid w:val="5799587F"/>
    <w:rsid w:val="57F6625C"/>
    <w:rsid w:val="580C2556"/>
    <w:rsid w:val="5841521F"/>
    <w:rsid w:val="58C649F9"/>
    <w:rsid w:val="58DB27D3"/>
    <w:rsid w:val="594B6641"/>
    <w:rsid w:val="5A64599F"/>
    <w:rsid w:val="5A7151BA"/>
    <w:rsid w:val="5AEC388B"/>
    <w:rsid w:val="5B2C286C"/>
    <w:rsid w:val="5BFB18DF"/>
    <w:rsid w:val="5C4209E7"/>
    <w:rsid w:val="5CCD5732"/>
    <w:rsid w:val="5E732B42"/>
    <w:rsid w:val="5E87676F"/>
    <w:rsid w:val="5F913742"/>
    <w:rsid w:val="60D34E46"/>
    <w:rsid w:val="60EA6FE1"/>
    <w:rsid w:val="60F160BB"/>
    <w:rsid w:val="617306A1"/>
    <w:rsid w:val="620D6A4A"/>
    <w:rsid w:val="624111E8"/>
    <w:rsid w:val="628E4F2C"/>
    <w:rsid w:val="62DB4DCA"/>
    <w:rsid w:val="63EF1108"/>
    <w:rsid w:val="643D21FB"/>
    <w:rsid w:val="645A39F2"/>
    <w:rsid w:val="64760302"/>
    <w:rsid w:val="657B0F69"/>
    <w:rsid w:val="662D6D1A"/>
    <w:rsid w:val="66FC4F58"/>
    <w:rsid w:val="676E610B"/>
    <w:rsid w:val="67D21E17"/>
    <w:rsid w:val="685E36A5"/>
    <w:rsid w:val="6919076B"/>
    <w:rsid w:val="6A7A62A9"/>
    <w:rsid w:val="6AD86E17"/>
    <w:rsid w:val="6C4B1C26"/>
    <w:rsid w:val="6CFB1DE3"/>
    <w:rsid w:val="6D3D3DBE"/>
    <w:rsid w:val="6D7429C2"/>
    <w:rsid w:val="6EDD6A27"/>
    <w:rsid w:val="6F6D0A2A"/>
    <w:rsid w:val="6FA876C5"/>
    <w:rsid w:val="6FF33669"/>
    <w:rsid w:val="706C0249"/>
    <w:rsid w:val="70950B7B"/>
    <w:rsid w:val="71137D4C"/>
    <w:rsid w:val="71314A99"/>
    <w:rsid w:val="714852D8"/>
    <w:rsid w:val="718A22AD"/>
    <w:rsid w:val="71BD2134"/>
    <w:rsid w:val="73032DE9"/>
    <w:rsid w:val="734A792F"/>
    <w:rsid w:val="73553F01"/>
    <w:rsid w:val="743C19CA"/>
    <w:rsid w:val="75852BC8"/>
    <w:rsid w:val="75DD2665"/>
    <w:rsid w:val="7650529F"/>
    <w:rsid w:val="766E5418"/>
    <w:rsid w:val="767C4EB2"/>
    <w:rsid w:val="78F23150"/>
    <w:rsid w:val="7A5B252D"/>
    <w:rsid w:val="7C483E6A"/>
    <w:rsid w:val="7CC8206B"/>
    <w:rsid w:val="7D0C73BD"/>
    <w:rsid w:val="7F1142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00" w:lineRule="auto"/>
      <w:jc w:val="center"/>
    </w:pPr>
    <w:rPr>
      <w:sz w:val="18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lock Text"/>
    <w:basedOn w:val="1"/>
    <w:next w:val="1"/>
    <w:qFormat/>
    <w:uiPriority w:val="0"/>
    <w:pPr>
      <w:widowControl/>
      <w:spacing w:after="120"/>
      <w:ind w:left="1440" w:right="1440"/>
    </w:pPr>
    <w:rPr>
      <w:rFonts w:ascii="宋体" w:eastAsia="宋体"/>
      <w:sz w:val="24"/>
    </w:rPr>
  </w:style>
  <w:style w:type="paragraph" w:styleId="6">
    <w:name w:val="Body Text Indent 2"/>
    <w:basedOn w:val="1"/>
    <w:qFormat/>
    <w:uiPriority w:val="0"/>
    <w:pPr>
      <w:spacing w:line="300" w:lineRule="auto"/>
      <w:ind w:left="481" w:firstLine="720"/>
    </w:pPr>
    <w:rPr>
      <w:sz w:val="24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1"/>
    <w:qFormat/>
    <w:uiPriority w:val="0"/>
    <w:pPr>
      <w:spacing w:line="400" w:lineRule="atLeast"/>
      <w:jc w:val="center"/>
    </w:pPr>
    <w:rPr>
      <w:rFonts w:ascii="Times New Roman" w:hAnsi="Times New Roman" w:eastAsia="仿宋_GB2312" w:cs="Times New Roman"/>
      <w:sz w:val="24"/>
      <w:szCs w:val="20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index 1"/>
    <w:basedOn w:val="1"/>
    <w:next w:val="1"/>
    <w:qFormat/>
    <w:uiPriority w:val="0"/>
    <w:pPr>
      <w:jc w:val="center"/>
    </w:pPr>
    <w:rPr>
      <w:rFonts w:ascii="宋体" w:hAnsi="宋体" w:eastAsia="宋体"/>
      <w:bCs/>
      <w:color w:val="FF0000"/>
      <w:szCs w:val="21"/>
    </w:rPr>
  </w:style>
  <w:style w:type="paragraph" w:styleId="13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semiHidden/>
    <w:unhideWhenUsed/>
    <w:qFormat/>
    <w:uiPriority w:val="99"/>
    <w:rPr>
      <w:color w:val="0000FF"/>
      <w:u w:val="single"/>
    </w:rPr>
  </w:style>
  <w:style w:type="paragraph" w:customStyle="1" w:styleId="18">
    <w:name w:val="Body Text Indent 21"/>
    <w:basedOn w:val="1"/>
    <w:qFormat/>
    <w:uiPriority w:val="0"/>
    <w:pPr>
      <w:spacing w:line="480" w:lineRule="auto"/>
      <w:ind w:left="420" w:leftChars="200"/>
    </w:pPr>
    <w:rPr>
      <w:rFonts w:ascii="Calibri" w:hAnsi="Calibri" w:eastAsia="宋体"/>
      <w:szCs w:val="24"/>
    </w:rPr>
  </w:style>
  <w:style w:type="paragraph" w:customStyle="1" w:styleId="19">
    <w:name w:val="表格文字"/>
    <w:basedOn w:val="1"/>
    <w:link w:val="20"/>
    <w:qFormat/>
    <w:uiPriority w:val="0"/>
    <w:pPr>
      <w:spacing w:line="400" w:lineRule="exact"/>
      <w:jc w:val="center"/>
    </w:pPr>
    <w:rPr>
      <w:rFonts w:ascii="Times New Roman" w:hAnsi="Times New Roman" w:eastAsia="宋体" w:cs="Times New Roman"/>
      <w:color w:val="000000"/>
      <w:sz w:val="24"/>
      <w:szCs w:val="24"/>
    </w:rPr>
  </w:style>
  <w:style w:type="character" w:customStyle="1" w:styleId="20">
    <w:name w:val="表格文字 Char"/>
    <w:basedOn w:val="16"/>
    <w:link w:val="19"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character" w:customStyle="1" w:styleId="21">
    <w:name w:val="批注框文本 Char"/>
    <w:basedOn w:val="16"/>
    <w:link w:val="7"/>
    <w:semiHidden/>
    <w:qFormat/>
    <w:uiPriority w:val="99"/>
    <w:rPr>
      <w:sz w:val="18"/>
      <w:szCs w:val="18"/>
    </w:rPr>
  </w:style>
  <w:style w:type="character" w:customStyle="1" w:styleId="22">
    <w:name w:val="apple-converted-space"/>
    <w:basedOn w:val="16"/>
    <w:qFormat/>
    <w:uiPriority w:val="0"/>
  </w:style>
  <w:style w:type="character" w:styleId="23">
    <w:name w:val="Placeholder Text"/>
    <w:basedOn w:val="16"/>
    <w:semiHidden/>
    <w:qFormat/>
    <w:uiPriority w:val="99"/>
    <w:rPr>
      <w:color w:val="808080"/>
    </w:rPr>
  </w:style>
  <w:style w:type="character" w:customStyle="1" w:styleId="24">
    <w:name w:val="页眉 Char"/>
    <w:basedOn w:val="16"/>
    <w:link w:val="9"/>
    <w:qFormat/>
    <w:uiPriority w:val="99"/>
    <w:rPr>
      <w:sz w:val="18"/>
      <w:szCs w:val="18"/>
    </w:rPr>
  </w:style>
  <w:style w:type="character" w:customStyle="1" w:styleId="25">
    <w:name w:val="页脚 Char"/>
    <w:basedOn w:val="16"/>
    <w:link w:val="8"/>
    <w:qFormat/>
    <w:uiPriority w:val="99"/>
    <w:rPr>
      <w:sz w:val="18"/>
      <w:szCs w:val="18"/>
    </w:rPr>
  </w:style>
  <w:style w:type="paragraph" w:customStyle="1" w:styleId="26">
    <w:name w:val="表字1"/>
    <w:basedOn w:val="1"/>
    <w:qFormat/>
    <w:uiPriority w:val="0"/>
    <w:pPr>
      <w:adjustRightInd w:val="0"/>
      <w:spacing w:line="360" w:lineRule="auto"/>
      <w:jc w:val="center"/>
      <w:textAlignment w:val="baseline"/>
    </w:pPr>
    <w:rPr>
      <w:rFonts w:ascii="宋体" w:hAnsi="宋体" w:cs="宋体"/>
      <w:kern w:val="0"/>
      <w:szCs w:val="21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</w:style>
  <w:style w:type="paragraph" w:customStyle="1" w:styleId="2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Times New Roman"/>
      <w:color w:val="000000"/>
      <w:sz w:val="24"/>
      <w:lang w:val="en-US" w:eastAsia="zh-CN" w:bidi="ar-SA"/>
    </w:rPr>
  </w:style>
  <w:style w:type="paragraph" w:customStyle="1" w:styleId="29">
    <w:name w:val="xl2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jc w:val="center"/>
      <w:textAlignment w:val="center"/>
    </w:pPr>
    <w:rPr>
      <w:rFonts w:ascii="宋体" w:hAnsi="宋体"/>
      <w:kern w:val="0"/>
      <w:sz w:val="24"/>
      <w:szCs w:val="24"/>
    </w:rPr>
  </w:style>
  <w:style w:type="paragraph" w:customStyle="1" w:styleId="30">
    <w:name w:val="Table Paragraph"/>
    <w:basedOn w:val="1"/>
    <w:qFormat/>
    <w:uiPriority w:val="1"/>
  </w:style>
  <w:style w:type="paragraph" w:customStyle="1" w:styleId="31">
    <w:name w:val="表格字体"/>
    <w:basedOn w:val="1"/>
    <w:qFormat/>
    <w:uiPriority w:val="0"/>
    <w:pPr>
      <w:adjustRightInd w:val="0"/>
      <w:snapToGrid w:val="0"/>
      <w:spacing w:beforeLines="20" w:afterLines="20"/>
      <w:jc w:val="center"/>
    </w:pPr>
    <w:rPr>
      <w:rFonts w:eastAsia="宋体"/>
      <w:color w:val="000000"/>
      <w:kern w:val="28"/>
      <w:szCs w:val="21"/>
    </w:rPr>
  </w:style>
  <w:style w:type="paragraph" w:customStyle="1" w:styleId="32">
    <w:name w:val="表格多字"/>
    <w:basedOn w:val="31"/>
    <w:qFormat/>
    <w:uiPriority w:val="0"/>
    <w:pPr>
      <w:ind w:firstLine="420" w:firstLineChars="2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95F9DD-3814-45EB-B94D-EAAEBAD170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2733</Words>
  <Characters>2915</Characters>
  <Lines>23</Lines>
  <Paragraphs>6</Paragraphs>
  <TotalTime>0</TotalTime>
  <ScaleCrop>false</ScaleCrop>
  <LinksUpToDate>false</LinksUpToDate>
  <CharactersWithSpaces>2937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2021-05-26T01:42:00Z</dcterms:created>
  <dc:creator>dell</dc:creator>
  <cp:lastModifiedBy>Administrator</cp:lastModifiedBy>
  <cp:lastPrinted>2021-08-28T08:39:00Z</cp:lastPrinted>
  <dcterms:modified xsi:type="dcterms:W3CDTF">2021-10-23T09:19:58Z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C82093F52FD74CEAA15AC028E90746AD</vt:lpwstr>
  </property>
</Properties>
</file>